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="1243" w:tblpY="1"/>
        <w:tblW w:w="99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6"/>
        <w:gridCol w:w="3197"/>
        <w:gridCol w:w="1852"/>
        <w:gridCol w:w="3578"/>
      </w:tblGrid>
      <w:tr w:rsidR="008D5771">
        <w:trPr>
          <w:trHeight w:val="1929"/>
        </w:trPr>
        <w:tc>
          <w:tcPr>
            <w:tcW w:w="1296" w:type="dxa"/>
          </w:tcPr>
          <w:p w:rsidR="008D5771" w:rsidRDefault="00EC19FA">
            <w:pPr>
              <w:rPr>
                <w:rFonts w:ascii="Verdana" w:hAnsi="Verdana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Verdana" w:hAnsi="Verdana" w:cs="Times New Roman"/>
                <w:b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638175" cy="919479"/>
                  <wp:effectExtent l="0" t="0" r="0" b="0"/>
                  <wp:docPr id="1026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/>
                        </pic:nvPicPr>
                        <pic:blipFill>
                          <a:blip r:embed="rId5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638175" cy="919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5771" w:rsidRDefault="008D5771">
            <w:pPr>
              <w:spacing w:line="251" w:lineRule="auto"/>
              <w:rPr>
                <w:rFonts w:ascii="Verdana" w:hAnsi="Verdana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197" w:type="dxa"/>
            <w:vAlign w:val="center"/>
          </w:tcPr>
          <w:p w:rsidR="008D5771" w:rsidRDefault="00EC19FA">
            <w:pPr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hAnsi="Verdana" w:cs="Times New Roman"/>
                <w:b/>
                <w:bCs/>
                <w:sz w:val="16"/>
                <w:szCs w:val="16"/>
              </w:rPr>
              <w:t xml:space="preserve">ДЕПАРТАМЕНТ КУЛЬТУРЫ </w:t>
            </w:r>
          </w:p>
          <w:p w:rsidR="008D5771" w:rsidRDefault="00EC19FA">
            <w:pPr>
              <w:rPr>
                <w:rFonts w:ascii="Verdana" w:hAnsi="Verdan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Verdana" w:hAnsi="Verdana" w:cs="Times New Roman"/>
                <w:b/>
                <w:bCs/>
                <w:sz w:val="16"/>
                <w:szCs w:val="16"/>
              </w:rPr>
              <w:t xml:space="preserve">МИНИСТЕРСТВА ОБОРОНЫ </w:t>
            </w:r>
          </w:p>
          <w:p w:rsidR="008D5771" w:rsidRDefault="00EC19FA">
            <w:pPr>
              <w:spacing w:line="251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bCs/>
                <w:sz w:val="16"/>
                <w:szCs w:val="16"/>
              </w:rPr>
              <w:t>РОССИЙСКОЙ ФЕДЕРАЦИИ</w:t>
            </w:r>
          </w:p>
        </w:tc>
        <w:tc>
          <w:tcPr>
            <w:tcW w:w="1852" w:type="dxa"/>
          </w:tcPr>
          <w:p w:rsidR="008D5771" w:rsidRDefault="008D5771">
            <w:pPr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  <w:p w:rsidR="008D5771" w:rsidRDefault="008D5771">
            <w:pPr>
              <w:spacing w:line="251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78" w:type="dxa"/>
            <w:vAlign w:val="center"/>
          </w:tcPr>
          <w:p w:rsidR="008D5771" w:rsidRDefault="00EC19FA">
            <w:pPr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814830" cy="1132840"/>
                  <wp:effectExtent l="0" t="0" r="0" b="0"/>
                  <wp:docPr id="1027" name="Изображение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3"/>
                          <pic:cNvPicPr/>
                        </pic:nvPicPr>
                        <pic:blipFill>
                          <a:blip r:embed="rId6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814830" cy="1132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5771" w:rsidRDefault="008D5771">
      <w:pPr>
        <w:rPr>
          <w:rFonts w:ascii="Verdana" w:hAnsi="Verdana" w:cs="Times New Roman"/>
          <w:b/>
          <w:bCs/>
          <w:i/>
          <w:iCs/>
          <w:sz w:val="20"/>
          <w:szCs w:val="20"/>
          <w:lang w:eastAsia="ru-RU"/>
        </w:rPr>
      </w:pPr>
    </w:p>
    <w:p w:rsidR="008D5771" w:rsidRDefault="00EC19FA">
      <w:pPr>
        <w:jc w:val="right"/>
        <w:rPr>
          <w:rFonts w:ascii="Verdana" w:hAnsi="Verdana" w:cs="Times New Roman"/>
          <w:b/>
          <w:bCs/>
          <w:i/>
          <w:iCs/>
          <w:sz w:val="20"/>
          <w:szCs w:val="20"/>
          <w:lang w:eastAsia="ru-RU"/>
        </w:rPr>
      </w:pPr>
      <w:r>
        <w:rPr>
          <w:rFonts w:ascii="Verdana" w:hAnsi="Verdana" w:cs="Times New Roman"/>
          <w:b/>
          <w:bCs/>
          <w:i/>
          <w:iCs/>
          <w:sz w:val="20"/>
          <w:szCs w:val="20"/>
          <w:lang w:eastAsia="ru-RU"/>
        </w:rPr>
        <w:t xml:space="preserve">                           Фестиваль памяти «23 дня до Победы»</w:t>
      </w:r>
    </w:p>
    <w:p w:rsidR="008D5771" w:rsidRPr="00EC19FA" w:rsidRDefault="00EC19FA" w:rsidP="00EC19FA">
      <w:pPr>
        <w:jc w:val="right"/>
        <w:rPr>
          <w:rFonts w:ascii="Verdana" w:hAnsi="Verdana" w:cs="Times New Roman"/>
          <w:b/>
          <w:bCs/>
          <w:i/>
          <w:iCs/>
          <w:sz w:val="20"/>
          <w:szCs w:val="20"/>
          <w:lang w:eastAsia="ru-RU"/>
        </w:rPr>
      </w:pPr>
      <w:r>
        <w:rPr>
          <w:rFonts w:ascii="Verdana" w:hAnsi="Verdana" w:cs="Times New Roman"/>
          <w:b/>
          <w:bCs/>
          <w:i/>
          <w:iCs/>
          <w:sz w:val="20"/>
          <w:szCs w:val="20"/>
          <w:lang w:eastAsia="ru-RU"/>
        </w:rPr>
        <w:t>16 апреля — 9 мая 2020 года</w:t>
      </w:r>
    </w:p>
    <w:p w:rsidR="008D5771" w:rsidRDefault="00EC19FA">
      <w:pPr>
        <w:ind w:left="-284"/>
        <w:jc w:val="center"/>
        <w:rPr>
          <w:rFonts w:ascii="Verdana" w:hAnsi="Verdana" w:cs="Times New Roman"/>
          <w:b/>
          <w:bCs/>
          <w:i/>
          <w:iCs/>
          <w:sz w:val="20"/>
          <w:szCs w:val="20"/>
          <w:lang w:eastAsia="ru-RU"/>
        </w:rPr>
      </w:pPr>
      <w:bookmarkStart w:id="0" w:name="_Hlk4412839"/>
      <w:r>
        <w:rPr>
          <w:rFonts w:ascii="Verdana" w:hAnsi="Verdana" w:cs="Times New Roman"/>
          <w:b/>
          <w:bCs/>
          <w:i/>
          <w:iCs/>
          <w:sz w:val="20"/>
          <w:szCs w:val="20"/>
          <w:lang w:eastAsia="ru-RU"/>
        </w:rPr>
        <w:t>Пресс-релиз</w:t>
      </w:r>
    </w:p>
    <w:p w:rsidR="008D5771" w:rsidRDefault="00EC19FA">
      <w:pPr>
        <w:ind w:left="-284"/>
        <w:jc w:val="both"/>
        <w:rPr>
          <w:rFonts w:ascii="Verdana" w:hAnsi="Verdana" w:cs="Times New Roman"/>
          <w:b/>
          <w:bCs/>
          <w:i/>
          <w:iCs/>
          <w:sz w:val="20"/>
          <w:szCs w:val="20"/>
          <w:lang w:eastAsia="ru-RU"/>
        </w:rPr>
      </w:pPr>
      <w:r>
        <w:rPr>
          <w:rFonts w:ascii="Verdana" w:hAnsi="Verdana" w:cs="Times New Roman"/>
          <w:b/>
          <w:bCs/>
          <w:i/>
          <w:iCs/>
          <w:sz w:val="20"/>
          <w:szCs w:val="20"/>
          <w:lang w:eastAsia="ru-RU"/>
        </w:rPr>
        <w:t xml:space="preserve">С 16 апреля по 9 мая 2020 года в Театре Армии и на сценах </w:t>
      </w:r>
      <w:r>
        <w:rPr>
          <w:rFonts w:ascii="Verdana" w:hAnsi="Verdana" w:cs="Times New Roman"/>
          <w:b/>
          <w:bCs/>
          <w:i/>
          <w:iCs/>
          <w:sz w:val="20"/>
          <w:szCs w:val="20"/>
          <w:lang w:eastAsia="ru-RU"/>
        </w:rPr>
        <w:t>театров России пройдет Всероссийский театральный фестиваль «23 дня до Победы», посвященный 75-летию Победы в Великой Отечественной войне. Учредителем фестиваля является Министерство обороны Российской Федерации.</w:t>
      </w:r>
    </w:p>
    <w:p w:rsidR="008D5771" w:rsidRDefault="00EC19FA">
      <w:pPr>
        <w:ind w:left="-284"/>
        <w:jc w:val="both"/>
        <w:rPr>
          <w:rFonts w:ascii="Verdana" w:hAnsi="Verdana" w:cs="Times New Roman"/>
          <w:bCs/>
          <w:iCs/>
          <w:sz w:val="20"/>
          <w:szCs w:val="20"/>
          <w:lang w:eastAsia="ru-RU"/>
        </w:rPr>
      </w:pPr>
      <w:r>
        <w:rPr>
          <w:rFonts w:ascii="Verdana" w:hAnsi="Verdana" w:cs="Times New Roman"/>
          <w:bCs/>
          <w:iCs/>
          <w:sz w:val="20"/>
          <w:szCs w:val="20"/>
          <w:lang w:eastAsia="ru-RU"/>
        </w:rPr>
        <w:t>23 дня — именно такой срок прошел со</w:t>
      </w:r>
      <w:r>
        <w:rPr>
          <w:rFonts w:ascii="Verdana" w:hAnsi="Verdana" w:cs="Times New Roman"/>
          <w:bCs/>
          <w:iCs/>
          <w:sz w:val="20"/>
          <w:szCs w:val="20"/>
          <w:lang w:eastAsia="ru-RU"/>
        </w:rPr>
        <w:t xml:space="preserve"> дня подписания приказа о начале Берлинской стратегической наступательной операции до полной капитуляции фашистской Германии. В течение 23-х дней, с 16 апреля по 9 мая, по всей стране будет проходить фестиваль памяти, в рамках которого театры-участники пок</w:t>
      </w:r>
      <w:r>
        <w:rPr>
          <w:rFonts w:ascii="Verdana" w:hAnsi="Verdana" w:cs="Times New Roman"/>
          <w:bCs/>
          <w:iCs/>
          <w:sz w:val="20"/>
          <w:szCs w:val="20"/>
          <w:lang w:eastAsia="ru-RU"/>
        </w:rPr>
        <w:t>ажут на своих площадках спектакли о войне и отметят на этот период здания театров символом Победы - звездой.</w:t>
      </w:r>
    </w:p>
    <w:p w:rsidR="008D5771" w:rsidRDefault="00EC19FA">
      <w:pPr>
        <w:ind w:left="-284"/>
        <w:jc w:val="both"/>
        <w:rPr>
          <w:rFonts w:ascii="Verdana" w:hAnsi="Verdana" w:cs="Times New Roman"/>
          <w:bCs/>
          <w:iCs/>
          <w:sz w:val="20"/>
          <w:szCs w:val="20"/>
          <w:lang w:eastAsia="ru-RU"/>
        </w:rPr>
      </w:pPr>
      <w:r>
        <w:rPr>
          <w:rFonts w:ascii="Verdana" w:hAnsi="Verdana" w:cs="Times New Roman"/>
          <w:bCs/>
          <w:iCs/>
          <w:sz w:val="20"/>
          <w:szCs w:val="20"/>
          <w:lang w:eastAsia="ru-RU"/>
        </w:rPr>
        <w:t xml:space="preserve">Открытие фестиваля «23 дня до Победы» состоится 16 апреля 2020 года на площади перед Центральным академическим театром Российской Армии. 17 апреля </w:t>
      </w:r>
      <w:r>
        <w:rPr>
          <w:rFonts w:ascii="Verdana" w:hAnsi="Verdana" w:cs="Times New Roman"/>
          <w:bCs/>
          <w:iCs/>
          <w:sz w:val="20"/>
          <w:szCs w:val="20"/>
          <w:lang w:eastAsia="ru-RU"/>
        </w:rPr>
        <w:t>на Большой сцене Театра Армии будет показан спектакль «Барабанщица» по пьесе Афанасия Салынского.</w:t>
      </w:r>
    </w:p>
    <w:p w:rsidR="008D5771" w:rsidRDefault="00EC19FA">
      <w:pPr>
        <w:ind w:left="-284"/>
        <w:jc w:val="both"/>
        <w:rPr>
          <w:rFonts w:ascii="Verdana" w:hAnsi="Verdana" w:cs="Times New Roman"/>
          <w:bCs/>
          <w:iCs/>
          <w:sz w:val="20"/>
          <w:szCs w:val="20"/>
          <w:lang w:eastAsia="ru-RU"/>
        </w:rPr>
      </w:pPr>
      <w:r>
        <w:rPr>
          <w:rFonts w:ascii="Verdana" w:hAnsi="Verdana" w:cs="Times New Roman"/>
          <w:bCs/>
          <w:i/>
          <w:sz w:val="20"/>
          <w:szCs w:val="20"/>
          <w:lang w:eastAsia="ru-RU"/>
        </w:rPr>
        <w:t>«В рамках фестиваля здание каждого российского театра, принимающего в нем участие, будет украшать символ Победы, логотип фестиваля — пятиконечная звезда. На с</w:t>
      </w:r>
      <w:r>
        <w:rPr>
          <w:rFonts w:ascii="Verdana" w:hAnsi="Verdana" w:cs="Times New Roman"/>
          <w:bCs/>
          <w:i/>
          <w:sz w:val="20"/>
          <w:szCs w:val="20"/>
          <w:lang w:eastAsia="ru-RU"/>
        </w:rPr>
        <w:t>воих сценах театры покажут поставленные в разные годы спектакли о Великой Отечественной войне. Также в Театре Армии состоятся читки пьес, написанные о войне с 1941 года по сегодняшний день»,</w:t>
      </w:r>
      <w:r>
        <w:rPr>
          <w:rFonts w:ascii="Verdana" w:hAnsi="Verdana" w:cs="Times New Roman"/>
          <w:bCs/>
          <w:iCs/>
          <w:sz w:val="20"/>
          <w:szCs w:val="20"/>
          <w:lang w:eastAsia="ru-RU"/>
        </w:rPr>
        <w:t xml:space="preserve"> - рассказывает Председатель Союза театральных деятелей, народный </w:t>
      </w:r>
      <w:r>
        <w:rPr>
          <w:rFonts w:ascii="Verdana" w:hAnsi="Verdana" w:cs="Times New Roman"/>
          <w:bCs/>
          <w:iCs/>
          <w:sz w:val="20"/>
          <w:szCs w:val="20"/>
          <w:lang w:eastAsia="ru-RU"/>
        </w:rPr>
        <w:t xml:space="preserve">артист России Александр Калягин. </w:t>
      </w:r>
    </w:p>
    <w:p w:rsidR="008D5771" w:rsidRDefault="00EC19FA">
      <w:pPr>
        <w:ind w:left="-284"/>
        <w:jc w:val="both"/>
        <w:rPr>
          <w:rFonts w:ascii="Verdana" w:hAnsi="Verdana" w:cs="Times New Roman"/>
          <w:bCs/>
          <w:iCs/>
          <w:sz w:val="20"/>
          <w:szCs w:val="20"/>
          <w:lang w:eastAsia="ru-RU"/>
        </w:rPr>
      </w:pPr>
      <w:r>
        <w:rPr>
          <w:rFonts w:ascii="Verdana" w:hAnsi="Verdana" w:cs="Times New Roman"/>
          <w:bCs/>
          <w:iCs/>
          <w:sz w:val="20"/>
          <w:szCs w:val="20"/>
          <w:lang w:eastAsia="ru-RU"/>
        </w:rPr>
        <w:t>В дни фестиваля «23 дня до Победы» самым значимым хэштэгом в буклетах, листовках, на сайтах театров-участников станет хэштэг #23днядопобеды. На больших экранах перед театром Армии, а также на его сайте ежедневно будет тран</w:t>
      </w:r>
      <w:r>
        <w:rPr>
          <w:rFonts w:ascii="Verdana" w:hAnsi="Verdana" w:cs="Times New Roman"/>
          <w:bCs/>
          <w:iCs/>
          <w:sz w:val="20"/>
          <w:szCs w:val="20"/>
          <w:lang w:eastAsia="ru-RU"/>
        </w:rPr>
        <w:t xml:space="preserve">слироваться обратный отсчет времени «до Победы осталось … дня». </w:t>
      </w:r>
    </w:p>
    <w:p w:rsidR="008D5771" w:rsidRDefault="00EC19FA">
      <w:pPr>
        <w:ind w:left="-284"/>
        <w:jc w:val="both"/>
        <w:rPr>
          <w:rFonts w:ascii="Verdana" w:hAnsi="Verdana" w:cs="Times New Roman"/>
          <w:bCs/>
          <w:iCs/>
          <w:sz w:val="20"/>
          <w:szCs w:val="20"/>
          <w:lang w:eastAsia="ru-RU"/>
        </w:rPr>
      </w:pPr>
      <w:r>
        <w:rPr>
          <w:rFonts w:ascii="Verdana" w:hAnsi="Verdana" w:cs="Times New Roman"/>
          <w:bCs/>
          <w:iCs/>
          <w:sz w:val="20"/>
          <w:szCs w:val="20"/>
          <w:lang w:eastAsia="ru-RU"/>
        </w:rPr>
        <w:t>Завершится фестиваль 9 мая гала-концертом на площади перед Театром Армии. Префектура ЦАО организует акцию с полевыми кухнями, «Сиренью Победы» и другими мероприятиями.</w:t>
      </w:r>
    </w:p>
    <w:p w:rsidR="008D5771" w:rsidRDefault="00EC19FA">
      <w:pPr>
        <w:ind w:left="-284"/>
        <w:jc w:val="both"/>
        <w:rPr>
          <w:rFonts w:ascii="Verdana" w:hAnsi="Verdana" w:cs="Times New Roman"/>
          <w:bCs/>
          <w:i/>
          <w:sz w:val="20"/>
          <w:szCs w:val="20"/>
          <w:lang w:eastAsia="ru-RU"/>
        </w:rPr>
      </w:pPr>
      <w:r>
        <w:rPr>
          <w:rFonts w:ascii="Verdana" w:hAnsi="Verdana" w:cs="Times New Roman"/>
          <w:b/>
          <w:bCs/>
          <w:i/>
          <w:iCs/>
          <w:noProof/>
          <w:sz w:val="20"/>
          <w:szCs w:val="20"/>
          <w:lang w:eastAsia="ru-RU"/>
        </w:rPr>
        <w:drawing>
          <wp:anchor distT="0" distB="0" distL="114300" distR="114300" simplePos="0" relativeHeight="2" behindDoc="1" locked="0" layoutInCell="1" allowOverlap="1">
            <wp:simplePos x="0" y="0"/>
            <wp:positionH relativeFrom="page">
              <wp:posOffset>5604386</wp:posOffset>
            </wp:positionH>
            <wp:positionV relativeFrom="page">
              <wp:posOffset>7267064</wp:posOffset>
            </wp:positionV>
            <wp:extent cx="1568450" cy="1568450"/>
            <wp:effectExtent l="0" t="0" r="6350" b="6350"/>
            <wp:wrapTight wrapText="bothSides">
              <wp:wrapPolygon edited="0">
                <wp:start x="0" y="0"/>
                <wp:lineTo x="0" y="21513"/>
                <wp:lineTo x="21513" y="21513"/>
                <wp:lineTo x="21513" y="0"/>
                <wp:lineTo x="0" y="0"/>
              </wp:wrapPolygon>
            </wp:wrapTight>
            <wp:docPr id="1028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1568450" cy="1568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 w:cs="Times New Roman"/>
          <w:bCs/>
          <w:iCs/>
          <w:sz w:val="20"/>
          <w:szCs w:val="20"/>
          <w:lang w:eastAsia="ru-RU"/>
        </w:rPr>
        <w:t>«</w:t>
      </w:r>
      <w:r>
        <w:rPr>
          <w:rFonts w:ascii="Verdana" w:hAnsi="Verdana" w:cs="Times New Roman"/>
          <w:bCs/>
          <w:i/>
          <w:sz w:val="20"/>
          <w:szCs w:val="20"/>
          <w:lang w:eastAsia="ru-RU"/>
        </w:rPr>
        <w:t>Мы гордимся высокой че</w:t>
      </w:r>
      <w:r>
        <w:rPr>
          <w:rFonts w:ascii="Verdana" w:hAnsi="Verdana" w:cs="Times New Roman"/>
          <w:bCs/>
          <w:i/>
          <w:sz w:val="20"/>
          <w:szCs w:val="20"/>
          <w:lang w:eastAsia="ru-RU"/>
        </w:rPr>
        <w:t xml:space="preserve">стью провести Всероссийский театральный </w:t>
      </w:r>
      <w:r>
        <w:rPr>
          <w:rFonts w:ascii="Verdana" w:hAnsi="Verdana" w:cs="Times New Roman"/>
          <w:bCs/>
          <w:i/>
          <w:sz w:val="20"/>
          <w:szCs w:val="20"/>
          <w:lang w:eastAsia="ru-RU"/>
        </w:rPr>
        <w:t xml:space="preserve">фестиваль, посвященный 75-летию Великой Победы, предоставленной театру Армии, в ходе которого вся страна получит уникальную возможность ощутить историю освобождения и прикоснуться к родникам памяти. </w:t>
      </w:r>
    </w:p>
    <w:p w:rsidR="008D5771" w:rsidRDefault="00EC19FA">
      <w:pPr>
        <w:ind w:left="-284"/>
        <w:jc w:val="both"/>
        <w:rPr>
          <w:rFonts w:ascii="Verdana" w:hAnsi="Verdana" w:cs="Times New Roman"/>
          <w:bCs/>
          <w:iCs/>
          <w:sz w:val="20"/>
          <w:szCs w:val="20"/>
          <w:lang w:eastAsia="ru-RU"/>
        </w:rPr>
      </w:pPr>
      <w:r>
        <w:rPr>
          <w:rFonts w:ascii="Verdana" w:hAnsi="Verdana" w:cs="Times New Roman"/>
          <w:bCs/>
          <w:i/>
          <w:sz w:val="20"/>
          <w:szCs w:val="20"/>
          <w:lang w:eastAsia="ru-RU"/>
        </w:rPr>
        <w:t>Мы потомки Побе</w:t>
      </w:r>
      <w:r>
        <w:rPr>
          <w:rFonts w:ascii="Verdana" w:hAnsi="Verdana" w:cs="Times New Roman"/>
          <w:bCs/>
          <w:i/>
          <w:sz w:val="20"/>
          <w:szCs w:val="20"/>
          <w:lang w:eastAsia="ru-RU"/>
        </w:rPr>
        <w:t>дителей и наша задача — силой искусства приумножить закаленный дух патриотического, гражданского и нравственного воспитания в современном поколении»</w:t>
      </w:r>
      <w:r>
        <w:rPr>
          <w:rFonts w:ascii="Verdana" w:hAnsi="Verdana" w:cs="Times New Roman"/>
          <w:bCs/>
          <w:iCs/>
          <w:sz w:val="20"/>
          <w:szCs w:val="20"/>
          <w:lang w:eastAsia="ru-RU"/>
        </w:rPr>
        <w:t>, — сказал Заместитель Министра обороны Российской Федерации – начальник Главного военно-политического управ</w:t>
      </w:r>
      <w:r>
        <w:rPr>
          <w:rFonts w:ascii="Verdana" w:hAnsi="Verdana" w:cs="Times New Roman"/>
          <w:bCs/>
          <w:iCs/>
          <w:sz w:val="20"/>
          <w:szCs w:val="20"/>
          <w:lang w:eastAsia="ru-RU"/>
        </w:rPr>
        <w:t>ления Вооруженных Сил Российской Федерации генерал-полковник Андрей Картаполов.</w:t>
      </w:r>
      <w:bookmarkEnd w:id="0"/>
    </w:p>
    <w:p w:rsidR="008D5771" w:rsidRDefault="008D5771">
      <w:pPr>
        <w:pBdr>
          <w:bottom w:val="double" w:sz="6" w:space="1" w:color="auto"/>
        </w:pBdr>
        <w:ind w:left="-284"/>
        <w:jc w:val="both"/>
        <w:rPr>
          <w:rFonts w:ascii="Verdana" w:hAnsi="Verdana" w:cs="Times New Roman"/>
          <w:b/>
          <w:bCs/>
          <w:sz w:val="20"/>
          <w:szCs w:val="20"/>
          <w:highlight w:val="yellow"/>
          <w:lang w:eastAsia="ru-RU"/>
        </w:rPr>
      </w:pPr>
    </w:p>
    <w:p w:rsidR="008D5771" w:rsidRDefault="00EC19FA">
      <w:pPr>
        <w:ind w:left="-284"/>
        <w:jc w:val="both"/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Times New Roman"/>
          <w:bCs/>
          <w:i/>
          <w:sz w:val="20"/>
          <w:szCs w:val="20"/>
          <w:lang w:eastAsia="ru-RU"/>
        </w:rPr>
        <w:t xml:space="preserve">Для получения дополнительной информации по спектаклю, обращайтесь, пожалуйста, в пресс-службу </w:t>
      </w:r>
      <w:r>
        <w:rPr>
          <w:rFonts w:ascii="Verdana" w:hAnsi="Verdana" w:cs="Arial"/>
          <w:i/>
          <w:sz w:val="20"/>
          <w:szCs w:val="20"/>
        </w:rPr>
        <w:t xml:space="preserve">Театра Российской Армии по </w:t>
      </w:r>
      <w:r>
        <w:rPr>
          <w:rFonts w:ascii="Verdana" w:hAnsi="Verdana" w:cs="Arial"/>
          <w:i/>
          <w:sz w:val="20"/>
          <w:szCs w:val="20"/>
          <w:lang w:val="en-US"/>
        </w:rPr>
        <w:t>e</w:t>
      </w:r>
      <w:r>
        <w:rPr>
          <w:rFonts w:ascii="Verdana" w:hAnsi="Verdana" w:cs="Arial"/>
          <w:i/>
          <w:sz w:val="20"/>
          <w:szCs w:val="20"/>
        </w:rPr>
        <w:t>-</w:t>
      </w:r>
      <w:r>
        <w:rPr>
          <w:rFonts w:ascii="Verdana" w:hAnsi="Verdana" w:cs="Arial"/>
          <w:i/>
          <w:sz w:val="20"/>
          <w:szCs w:val="20"/>
          <w:lang w:val="en-US"/>
        </w:rPr>
        <w:t>mail</w:t>
      </w:r>
      <w:r>
        <w:rPr>
          <w:rFonts w:ascii="Verdana" w:hAnsi="Verdana" w:cs="Arial"/>
          <w:i/>
          <w:sz w:val="20"/>
          <w:szCs w:val="20"/>
        </w:rPr>
        <w:t xml:space="preserve">: </w:t>
      </w:r>
      <w:hyperlink r:id="rId8" w:history="1">
        <w:r>
          <w:rPr>
            <w:rStyle w:val="a6"/>
            <w:rFonts w:ascii="Verdana" w:hAnsi="Verdana" w:cs="Arial"/>
            <w:i/>
            <w:sz w:val="20"/>
            <w:szCs w:val="20"/>
            <w:lang w:val="en-US"/>
          </w:rPr>
          <w:t>teat</w:t>
        </w:r>
        <w:r>
          <w:rPr>
            <w:rStyle w:val="a6"/>
            <w:rFonts w:ascii="Verdana" w:hAnsi="Verdana" w:cs="Arial"/>
            <w:i/>
            <w:sz w:val="20"/>
            <w:szCs w:val="20"/>
            <w:lang w:val="en-US"/>
          </w:rPr>
          <w:t>r</w:t>
        </w:r>
        <w:r>
          <w:rPr>
            <w:rStyle w:val="a6"/>
            <w:rFonts w:ascii="Verdana" w:hAnsi="Verdana" w:cs="Arial"/>
            <w:i/>
            <w:sz w:val="20"/>
            <w:szCs w:val="20"/>
          </w:rPr>
          <w:t>.</w:t>
        </w:r>
        <w:r>
          <w:rPr>
            <w:rStyle w:val="a6"/>
            <w:rFonts w:ascii="Verdana" w:hAnsi="Verdana" w:cs="Arial"/>
            <w:i/>
            <w:sz w:val="20"/>
            <w:szCs w:val="20"/>
            <w:lang w:val="en-US"/>
          </w:rPr>
          <w:t>armii</w:t>
        </w:r>
        <w:r>
          <w:rPr>
            <w:rStyle w:val="a6"/>
            <w:rFonts w:ascii="Verdana" w:hAnsi="Verdana" w:cs="Arial"/>
            <w:i/>
            <w:sz w:val="20"/>
            <w:szCs w:val="20"/>
          </w:rPr>
          <w:t>@</w:t>
        </w:r>
        <w:r>
          <w:rPr>
            <w:rStyle w:val="a6"/>
            <w:rFonts w:ascii="Verdana" w:hAnsi="Verdana" w:cs="Arial"/>
            <w:i/>
            <w:sz w:val="20"/>
            <w:szCs w:val="20"/>
            <w:lang w:val="en-US"/>
          </w:rPr>
          <w:t>yandex</w:t>
        </w:r>
        <w:r>
          <w:rPr>
            <w:rStyle w:val="a6"/>
            <w:rFonts w:ascii="Verdana" w:hAnsi="Verdana" w:cs="Arial"/>
            <w:i/>
            <w:sz w:val="20"/>
            <w:szCs w:val="20"/>
          </w:rPr>
          <w:t>.</w:t>
        </w:r>
        <w:r>
          <w:rPr>
            <w:rStyle w:val="a6"/>
            <w:rFonts w:ascii="Verdana" w:hAnsi="Verdana" w:cs="Arial"/>
            <w:i/>
            <w:sz w:val="20"/>
            <w:szCs w:val="20"/>
            <w:lang w:val="en-US"/>
          </w:rPr>
          <w:t>ru</w:t>
        </w:r>
      </w:hyperlink>
      <w:bookmarkStart w:id="1" w:name="_GoBack"/>
      <w:bookmarkEnd w:id="1"/>
    </w:p>
    <w:sectPr w:rsidR="008D5771">
      <w:pgSz w:w="11906" w:h="16838"/>
      <w:pgMar w:top="260" w:right="707" w:bottom="436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Lucida Grande CY">
    <w:altName w:val="Calibri"/>
    <w:panose1 w:val="020B0600040502020204"/>
    <w:charset w:val="00"/>
    <w:family w:val="swiss"/>
    <w:pitch w:val="variable"/>
    <w:sig w:usb0="00000000" w:usb1="5000A1FF" w:usb2="00000000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embedSystemFonts/>
  <w:hideSpellingErrors/>
  <w:hideGrammaticalError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771"/>
    <w:rsid w:val="008D5771"/>
    <w:rsid w:val="00EC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42BBB2C8"/>
  <w15:docId w15:val="{B8BFC828-7BD4-BC43-90E5-A9A7A7E4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="Cambria" w:eastAsia="MS Gothic" w:hAnsi="Cambria" w:cs="SimSu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="Cambria" w:eastAsia="MS Gothic" w:hAnsi="Cambria" w:cs="SimSu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eastAsia="MS Gothic" w:hAnsi="Cambria" w:cs="SimSu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="Cambria" w:eastAsia="MS Gothic" w:hAnsi="Cambria" w:cs="SimSu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="Cambria" w:eastAsia="MS Gothic" w:hAnsi="Cambria" w:cs="SimSun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="Cambria" w:eastAsia="MS Gothic" w:hAnsi="Cambria" w:cs="SimSun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200" w:after="0"/>
      <w:outlineLvl w:val="6"/>
    </w:pPr>
    <w:rPr>
      <w:rFonts w:ascii="Cambria" w:eastAsia="MS Gothic" w:hAnsi="Cambria" w:cs="SimSu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200" w:after="0"/>
      <w:outlineLvl w:val="7"/>
    </w:pPr>
    <w:rPr>
      <w:rFonts w:ascii="Cambria" w:eastAsia="MS Gothic" w:hAnsi="Cambria" w:cs="SimSu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200" w:after="0"/>
      <w:outlineLvl w:val="8"/>
    </w:pPr>
    <w:rPr>
      <w:rFonts w:ascii="Cambria" w:eastAsia="MS Gothic" w:hAnsi="Cambria" w:cs="SimSu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paragraph" w:styleId="a5">
    <w:name w:val="Normal (Web)"/>
    <w:basedOn w:val="a"/>
    <w:uiPriority w:val="99"/>
    <w:qFormat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qFormat/>
  </w:style>
  <w:style w:type="character" w:customStyle="1" w:styleId="Textexposedshow">
    <w:name w:val="Text_exposed_show"/>
    <w:basedOn w:val="a0"/>
    <w:uiPriority w:val="99"/>
    <w:qFormat/>
  </w:style>
  <w:style w:type="paragraph" w:customStyle="1" w:styleId="11">
    <w:name w:val="Абзац списка1"/>
    <w:basedOn w:val="a"/>
    <w:uiPriority w:val="99"/>
    <w:qFormat/>
    <w:pPr>
      <w:ind w:left="720"/>
    </w:pPr>
  </w:style>
  <w:style w:type="character" w:customStyle="1" w:styleId="5yl5">
    <w:name w:val="_5yl5"/>
    <w:basedOn w:val="a0"/>
    <w:uiPriority w:val="99"/>
    <w:qFormat/>
  </w:style>
  <w:style w:type="character" w:customStyle="1" w:styleId="5w-6">
    <w:name w:val="_5w-6"/>
    <w:basedOn w:val="a0"/>
    <w:uiPriority w:val="99"/>
    <w:qFormat/>
  </w:style>
  <w:style w:type="paragraph" w:customStyle="1" w:styleId="Western">
    <w:name w:val="Western"/>
    <w:basedOn w:val="a"/>
    <w:uiPriority w:val="99"/>
    <w:qFormat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qFormat/>
    <w:rPr>
      <w:rFonts w:ascii="Lucida Grande CY" w:hAnsi="Lucida Grande CY" w:cs="Lucida Grande CY"/>
      <w:sz w:val="18"/>
      <w:szCs w:val="18"/>
      <w:lang w:eastAsia="en-US"/>
    </w:rPr>
  </w:style>
  <w:style w:type="paragraph" w:styleId="a7">
    <w:name w:val="No Spacing"/>
    <w:uiPriority w:val="1"/>
    <w:qFormat/>
  </w:style>
  <w:style w:type="character" w:customStyle="1" w:styleId="10">
    <w:name w:val="Заголовок 1 Знак"/>
    <w:basedOn w:val="a0"/>
    <w:link w:val="1"/>
    <w:uiPriority w:val="9"/>
    <w:rPr>
      <w:rFonts w:ascii="Cambria" w:eastAsia="MS Gothic" w:hAnsi="Cambria" w:cs="SimSu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="Cambria" w:eastAsia="MS Gothic" w:hAnsi="Cambria" w:cs="SimSu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="Cambria" w:eastAsia="MS Gothic" w:hAnsi="Cambria" w:cs="SimSu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Pr>
      <w:rFonts w:ascii="Cambria" w:eastAsia="MS Gothic" w:hAnsi="Cambria" w:cs="SimSu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Pr>
      <w:rFonts w:ascii="Cambria" w:eastAsia="MS Gothic" w:hAnsi="Cambria" w:cs="SimSun"/>
      <w:color w:val="243F60"/>
    </w:rPr>
  </w:style>
  <w:style w:type="character" w:customStyle="1" w:styleId="60">
    <w:name w:val="Заголовок 6 Знак"/>
    <w:basedOn w:val="a0"/>
    <w:link w:val="6"/>
    <w:uiPriority w:val="9"/>
    <w:rPr>
      <w:rFonts w:ascii="Cambria" w:eastAsia="MS Gothic" w:hAnsi="Cambria" w:cs="SimSu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Pr>
      <w:rFonts w:ascii="Cambria" w:eastAsia="MS Gothic" w:hAnsi="Cambria" w:cs="SimSu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Pr>
      <w:rFonts w:ascii="Cambria" w:eastAsia="MS Gothic" w:hAnsi="Cambria" w:cs="SimSu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="Cambria" w:eastAsia="MS Gothic" w:hAnsi="Cambria" w:cs="SimSun"/>
      <w:i/>
      <w:iCs/>
      <w:color w:val="404040"/>
      <w:sz w:val="20"/>
      <w:szCs w:val="20"/>
    </w:rPr>
  </w:style>
  <w:style w:type="paragraph" w:styleId="a8">
    <w:name w:val="Title"/>
    <w:basedOn w:val="a"/>
    <w:next w:val="a"/>
    <w:link w:val="a9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MS Gothic" w:hAnsi="Cambria" w:cs="SimSun"/>
      <w:color w:val="17365D"/>
      <w:spacing w:val="5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Pr>
      <w:rFonts w:ascii="Cambria" w:eastAsia="MS Gothic" w:hAnsi="Cambria" w:cs="SimSun"/>
      <w:color w:val="17365D"/>
      <w:spacing w:val="5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Pr>
      <w:rFonts w:ascii="Cambria" w:eastAsia="MS Gothic" w:hAnsi="Cambria" w:cs="SimSun"/>
      <w:i/>
      <w:iCs/>
      <w:color w:val="4F81BD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Pr>
      <w:rFonts w:ascii="Cambria" w:eastAsia="MS Gothic" w:hAnsi="Cambria" w:cs="SimSun"/>
      <w:i/>
      <w:iCs/>
      <w:color w:val="4F81BD"/>
      <w:spacing w:val="15"/>
      <w:sz w:val="24"/>
      <w:szCs w:val="24"/>
    </w:rPr>
  </w:style>
  <w:style w:type="character" w:styleId="ac">
    <w:name w:val="Subtle Emphasis"/>
    <w:basedOn w:val="a0"/>
    <w:uiPriority w:val="19"/>
    <w:qFormat/>
    <w:rPr>
      <w:i/>
      <w:iCs/>
      <w:color w:val="808080"/>
    </w:rPr>
  </w:style>
  <w:style w:type="character" w:styleId="ad">
    <w:name w:val="Emphasis"/>
    <w:basedOn w:val="a0"/>
    <w:uiPriority w:val="20"/>
    <w:qFormat/>
    <w:rPr>
      <w:i/>
      <w:iCs/>
    </w:rPr>
  </w:style>
  <w:style w:type="character" w:styleId="ae">
    <w:name w:val="Intense Emphasis"/>
    <w:basedOn w:val="a0"/>
    <w:uiPriority w:val="21"/>
    <w:qFormat/>
    <w:rPr>
      <w:b/>
      <w:bCs/>
      <w:i/>
      <w:iCs/>
      <w:color w:val="4F81BD"/>
    </w:rPr>
  </w:style>
  <w:style w:type="character" w:styleId="af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1">
    <w:name w:val="Выделенная цитата Знак"/>
    <w:basedOn w:val="a0"/>
    <w:link w:val="af0"/>
    <w:uiPriority w:val="30"/>
    <w:rPr>
      <w:b/>
      <w:bCs/>
      <w:i/>
      <w:iCs/>
      <w:color w:val="4F81BD"/>
    </w:rPr>
  </w:style>
  <w:style w:type="character" w:styleId="af2">
    <w:name w:val="Subtle Reference"/>
    <w:basedOn w:val="a0"/>
    <w:uiPriority w:val="31"/>
    <w:qFormat/>
    <w:rPr>
      <w:smallCaps/>
      <w:color w:val="C0504D"/>
      <w:u w:val="single"/>
    </w:rPr>
  </w:style>
  <w:style w:type="character" w:styleId="af3">
    <w:name w:val="Intense Reference"/>
    <w:basedOn w:val="a0"/>
    <w:uiPriority w:val="32"/>
    <w:qFormat/>
    <w:rPr>
      <w:b/>
      <w:bCs/>
      <w:smallCaps/>
      <w:color w:val="C0504D"/>
      <w:spacing w:val="5"/>
      <w:u w:val="single"/>
    </w:rPr>
  </w:style>
  <w:style w:type="character" w:styleId="af4">
    <w:name w:val="Book Title"/>
    <w:basedOn w:val="a0"/>
    <w:uiPriority w:val="33"/>
    <w:qFormat/>
    <w:rPr>
      <w:b/>
      <w:bCs/>
      <w:smallCaps/>
      <w:spacing w:val="5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f6">
    <w:name w:val="footnote text"/>
    <w:basedOn w:val="a"/>
    <w:link w:val="af7"/>
    <w:uiPriority w:val="99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Pr>
      <w:sz w:val="20"/>
      <w:szCs w:val="20"/>
    </w:rPr>
  </w:style>
  <w:style w:type="character" w:styleId="af8">
    <w:name w:val="footnote reference"/>
    <w:basedOn w:val="a0"/>
    <w:uiPriority w:val="99"/>
    <w:rPr>
      <w:vertAlign w:val="superscript"/>
    </w:rPr>
  </w:style>
  <w:style w:type="paragraph" w:styleId="af9">
    <w:name w:val="endnote text"/>
    <w:basedOn w:val="a"/>
    <w:link w:val="afa"/>
    <w:uiPriority w:val="99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rPr>
      <w:sz w:val="20"/>
      <w:szCs w:val="20"/>
    </w:rPr>
  </w:style>
  <w:style w:type="character" w:styleId="afb">
    <w:name w:val="endnote reference"/>
    <w:basedOn w:val="a0"/>
    <w:uiPriority w:val="99"/>
    <w:rPr>
      <w:vertAlign w:val="superscript"/>
    </w:rPr>
  </w:style>
  <w:style w:type="paragraph" w:styleId="afc">
    <w:name w:val="Plain Text"/>
    <w:basedOn w:val="a"/>
    <w:link w:val="afd"/>
    <w:uiPriority w:val="99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d">
    <w:name w:val="Текст Знак"/>
    <w:basedOn w:val="a0"/>
    <w:link w:val="afc"/>
    <w:uiPriority w:val="99"/>
    <w:rPr>
      <w:rFonts w:ascii="Courier New" w:hAnsi="Courier New" w:cs="Courier New"/>
      <w:sz w:val="21"/>
      <w:szCs w:val="21"/>
    </w:rPr>
  </w:style>
  <w:style w:type="paragraph" w:styleId="afe">
    <w:name w:val="header"/>
    <w:basedOn w:val="a"/>
    <w:link w:val="aff"/>
    <w:uiPriority w:val="99"/>
    <w:pPr>
      <w:spacing w:after="0" w:line="240" w:lineRule="auto"/>
    </w:pPr>
  </w:style>
  <w:style w:type="character" w:customStyle="1" w:styleId="aff">
    <w:name w:val="Верхний колонтитул Знак"/>
    <w:basedOn w:val="a0"/>
    <w:link w:val="afe"/>
    <w:uiPriority w:val="99"/>
  </w:style>
  <w:style w:type="paragraph" w:styleId="aff0">
    <w:name w:val="footer"/>
    <w:basedOn w:val="a"/>
    <w:link w:val="aff1"/>
    <w:uiPriority w:val="99"/>
    <w:pPr>
      <w:spacing w:after="0" w:line="240" w:lineRule="auto"/>
    </w:pPr>
  </w:style>
  <w:style w:type="character" w:customStyle="1" w:styleId="aff1">
    <w:name w:val="Нижний колонтитул Знак"/>
    <w:basedOn w:val="a0"/>
    <w:link w:val="aff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atr.armii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2389</Characters>
  <Application>Microsoft Office Word</Application>
  <DocSecurity>0</DocSecurity>
  <Lines>19</Lines>
  <Paragraphs>5</Paragraphs>
  <ScaleCrop>false</ScaleCrop>
  <Company>Inc.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milena1234568@outlook.com</cp:lastModifiedBy>
  <cp:revision>2</cp:revision>
  <cp:lastPrinted>2020-02-19T15:46:00Z</cp:lastPrinted>
  <dcterms:created xsi:type="dcterms:W3CDTF">2020-02-19T16:42:00Z</dcterms:created>
  <dcterms:modified xsi:type="dcterms:W3CDTF">2020-02-19T16:42:00Z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2052-8.0.1</vt:lpwstr>
  </property>
</Properties>
</file>